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FE" w:rsidRDefault="00F13A0A">
      <w:pPr>
        <w:pStyle w:val="berschrift6"/>
        <w:jc w:val="center"/>
        <w:rPr>
          <w:sz w:val="56"/>
        </w:rPr>
      </w:pPr>
      <w:bookmarkStart w:id="0" w:name="_GoBack"/>
      <w:bookmarkEnd w:id="0"/>
      <w:r>
        <w:rPr>
          <w:sz w:val="56"/>
        </w:rPr>
        <w:t xml:space="preserve">Entwurf / </w:t>
      </w:r>
      <w:r w:rsidR="009836FE">
        <w:rPr>
          <w:sz w:val="56"/>
        </w:rPr>
        <w:t xml:space="preserve">Lärmaktionsplan der </w:t>
      </w:r>
      <w:r w:rsidR="009836FE">
        <w:rPr>
          <w:sz w:val="56"/>
        </w:rPr>
        <w:br/>
        <w:t>Gemeinde Rumohr</w:t>
      </w:r>
    </w:p>
    <w:p w:rsidR="009836FE" w:rsidRDefault="00EA4E63" w:rsidP="001A404A">
      <w:pPr>
        <w:jc w:val="center"/>
      </w:pPr>
      <w:r>
        <w:t xml:space="preserve">Überprüfung der </w:t>
      </w:r>
      <w:r w:rsidR="001A404A">
        <w:t>Fortschreibung 2013 (2. Stufe)</w:t>
      </w:r>
    </w:p>
    <w:p w:rsidR="009836FE" w:rsidRDefault="009836FE">
      <w:pPr>
        <w:pStyle w:val="Deckblatt1"/>
      </w:pPr>
    </w:p>
    <w:p w:rsidR="009836FE" w:rsidRDefault="009836FE">
      <w:pPr>
        <w:pStyle w:val="Textkrper"/>
        <w:spacing w:before="240" w:after="240"/>
        <w:rPr>
          <w:sz w:val="28"/>
        </w:rPr>
      </w:pPr>
      <w:r>
        <w:rPr>
          <w:color w:val="0000FF"/>
          <w:sz w:val="28"/>
        </w:rPr>
        <w:t xml:space="preserve">Zusammenfassung des Aktionsplans zur Mitteilung an die EU </w:t>
      </w:r>
      <w:r>
        <w:rPr>
          <w:color w:val="0000FF"/>
          <w:sz w:val="28"/>
        </w:rPr>
        <w:br/>
        <w:t xml:space="preserve">gem. § 47d Abs. 7 BImSchG </w:t>
      </w:r>
      <w:r>
        <w:rPr>
          <w:color w:val="0000FF"/>
          <w:sz w:val="28"/>
        </w:rPr>
        <w:br/>
        <w:t>d</w:t>
      </w:r>
      <w:r w:rsidR="00AD0C7B">
        <w:rPr>
          <w:color w:val="0000FF"/>
          <w:sz w:val="28"/>
        </w:rPr>
        <w:t xml:space="preserve">er Gemeinde „Rumohr“ vom </w:t>
      </w:r>
      <w:r w:rsidR="00EA4E63">
        <w:rPr>
          <w:color w:val="0000FF"/>
          <w:sz w:val="28"/>
        </w:rPr>
        <w:t xml:space="preserve">        </w:t>
      </w:r>
      <w:r w:rsidR="00BF26B3">
        <w:rPr>
          <w:color w:val="0000FF"/>
          <w:sz w:val="28"/>
        </w:rPr>
        <w:t>201</w:t>
      </w:r>
      <w:r w:rsidR="00EA4E63">
        <w:rPr>
          <w:color w:val="0000FF"/>
          <w:sz w:val="28"/>
        </w:rPr>
        <w:t>8</w:t>
      </w:r>
      <w:r w:rsidR="001A404A">
        <w:rPr>
          <w:color w:val="0000FF"/>
          <w:sz w:val="28"/>
        </w:rPr>
        <w:t>…</w:t>
      </w:r>
    </w:p>
    <w:p w:rsidR="009836FE" w:rsidRDefault="009836FE">
      <w:pPr>
        <w:pStyle w:val="Textkrper2"/>
        <w:rPr>
          <w:i/>
          <w:iCs/>
          <w:color w:val="0000FF"/>
        </w:rPr>
      </w:pPr>
    </w:p>
    <w:p w:rsidR="009836FE" w:rsidRDefault="009836FE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1. Allgemeines </w:t>
      </w:r>
    </w:p>
    <w:p w:rsidR="009836FE" w:rsidRDefault="009836FE">
      <w:pPr>
        <w:ind w:left="426" w:hanging="426"/>
        <w:rPr>
          <w:rFonts w:cs="Arial"/>
          <w:b/>
        </w:rPr>
      </w:pPr>
      <w:r>
        <w:rPr>
          <w:rFonts w:cs="Arial"/>
          <w:b/>
        </w:rPr>
        <w:t>1.1 Beschreibung der Gemeinde sowie der Hauptverkehrsstraßen, Haupteise</w:t>
      </w:r>
      <w:r>
        <w:rPr>
          <w:rFonts w:cs="Arial"/>
          <w:b/>
        </w:rPr>
        <w:t>n</w:t>
      </w:r>
      <w:r>
        <w:rPr>
          <w:rFonts w:cs="Arial"/>
          <w:b/>
        </w:rPr>
        <w:t>bahnstrecken oder Großflughäfen und anderer Lärmquellen, die zu berüc</w:t>
      </w:r>
      <w:r>
        <w:rPr>
          <w:rFonts w:cs="Arial"/>
          <w:b/>
        </w:rPr>
        <w:t>k</w:t>
      </w:r>
      <w:r>
        <w:rPr>
          <w:rFonts w:cs="Arial"/>
          <w:b/>
        </w:rPr>
        <w:t>sic</w:t>
      </w:r>
      <w:r>
        <w:rPr>
          <w:rFonts w:cs="Arial"/>
          <w:b/>
        </w:rPr>
        <w:t>h</w:t>
      </w:r>
      <w:r>
        <w:rPr>
          <w:rFonts w:cs="Arial"/>
          <w:b/>
        </w:rPr>
        <w:t>tigen sind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9836FE">
            <w:pPr>
              <w:pStyle w:val="berschrift2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Die Gemeinde Rumohr liegt in Schleswig-Holstein, südwestlich des Stadtrandes der Landeshauptstadt </w:t>
            </w:r>
            <w:hyperlink r:id="rId8" w:tooltip="Kiel" w:history="1">
              <w:r>
                <w:rPr>
                  <w:rFonts w:cs="Arial"/>
                  <w:b w:val="0"/>
                  <w:bCs w:val="0"/>
                </w:rPr>
                <w:t>Kiel</w:t>
              </w:r>
            </w:hyperlink>
            <w:r>
              <w:rPr>
                <w:rFonts w:cs="Arial"/>
                <w:b w:val="0"/>
                <w:bCs w:val="0"/>
              </w:rPr>
              <w:t xml:space="preserve">. Sie gehört zum Kreis Rendsburg-Eckernförde. In der Gemeinde Rumohr zu der die Orte Rumohr, Bornhorst, Rotenhahn, Rumohrholz und Rumohrhütten gehören leben ca. </w:t>
            </w:r>
            <w:r w:rsidR="005A495A">
              <w:rPr>
                <w:rFonts w:cs="Arial"/>
                <w:b w:val="0"/>
                <w:bCs w:val="0"/>
              </w:rPr>
              <w:t>827</w:t>
            </w:r>
            <w:r>
              <w:rPr>
                <w:rFonts w:cs="Arial"/>
                <w:b w:val="0"/>
                <w:bCs w:val="0"/>
              </w:rPr>
              <w:t xml:space="preserve"> Einwohner (Stand 31.</w:t>
            </w:r>
            <w:r w:rsidR="005A495A">
              <w:rPr>
                <w:rFonts w:cs="Arial"/>
                <w:b w:val="0"/>
                <w:bCs w:val="0"/>
              </w:rPr>
              <w:t xml:space="preserve"> Mai </w:t>
            </w:r>
            <w:r>
              <w:rPr>
                <w:rFonts w:cs="Arial"/>
                <w:b w:val="0"/>
                <w:bCs w:val="0"/>
              </w:rPr>
              <w:t xml:space="preserve"> 20</w:t>
            </w:r>
            <w:r w:rsidR="005A495A">
              <w:rPr>
                <w:rFonts w:cs="Arial"/>
                <w:b w:val="0"/>
                <w:bCs w:val="0"/>
              </w:rPr>
              <w:t>1</w:t>
            </w:r>
            <w:r w:rsidR="001A404A">
              <w:rPr>
                <w:rFonts w:cs="Arial"/>
                <w:b w:val="0"/>
                <w:bCs w:val="0"/>
              </w:rPr>
              <w:t>8</w:t>
            </w:r>
            <w:r>
              <w:rPr>
                <w:rFonts w:cs="Arial"/>
                <w:b w:val="0"/>
                <w:bCs w:val="0"/>
              </w:rPr>
              <w:t>). Die Gesamtfläche des Gemeindegebietes beträgt 8,6 qkm. Hieraus ergibt sich eine Einwohne</w:t>
            </w:r>
            <w:r>
              <w:rPr>
                <w:rFonts w:cs="Arial"/>
                <w:b w:val="0"/>
                <w:bCs w:val="0"/>
              </w:rPr>
              <w:t>r</w:t>
            </w:r>
            <w:r>
              <w:rPr>
                <w:rFonts w:cs="Arial"/>
                <w:b w:val="0"/>
                <w:bCs w:val="0"/>
              </w:rPr>
              <w:t xml:space="preserve">dichte pro qkm von </w:t>
            </w:r>
            <w:r w:rsidR="005A495A">
              <w:rPr>
                <w:rFonts w:cs="Arial"/>
                <w:b w:val="0"/>
                <w:bCs w:val="0"/>
              </w:rPr>
              <w:t>96</w:t>
            </w:r>
            <w:r>
              <w:rPr>
                <w:rFonts w:cs="Arial"/>
                <w:b w:val="0"/>
                <w:bCs w:val="0"/>
              </w:rPr>
              <w:t xml:space="preserve"> E/qkm.</w:t>
            </w:r>
          </w:p>
          <w:p w:rsidR="009836FE" w:rsidRDefault="009836FE">
            <w:pPr>
              <w:pStyle w:val="berschrift2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Die Gemeinde Rumohr ist auch heute trotz des Siedlungsdruckes durch die nahe gelegene Landeshauptstadt Kiel landwirtschaftlich geprägt und genutzt. In einige</w:t>
            </w:r>
            <w:r>
              <w:rPr>
                <w:rFonts w:cs="Arial"/>
                <w:b w:val="0"/>
                <w:bCs w:val="0"/>
              </w:rPr>
              <w:t>n</w:t>
            </w:r>
            <w:r>
              <w:rPr>
                <w:rFonts w:cs="Arial"/>
                <w:b w:val="0"/>
                <w:bCs w:val="0"/>
              </w:rPr>
              <w:t xml:space="preserve"> Orten der Gemeinde sind jedoch auch Wohnsiedlungen errichtet worden. </w:t>
            </w:r>
          </w:p>
          <w:p w:rsidR="009836FE" w:rsidRDefault="009836FE">
            <w:pPr>
              <w:pStyle w:val="berschrift2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Die Gemeinde Rumohr weist eine gute </w:t>
            </w:r>
            <w:r w:rsidR="00A2036B">
              <w:rPr>
                <w:rFonts w:cs="Arial"/>
                <w:b w:val="0"/>
                <w:bCs w:val="0"/>
              </w:rPr>
              <w:t>Straßenverkehrsanbindung</w:t>
            </w:r>
            <w:r>
              <w:rPr>
                <w:rFonts w:cs="Arial"/>
                <w:b w:val="0"/>
                <w:bCs w:val="0"/>
              </w:rPr>
              <w:t xml:space="preserve"> auf. Östlich des gleichnamigen Ortes verläuft die BAB A215, die in ca. einem Kilometer südlich der Gemeindegrenze über eine Autobahnanschlussstelle verfügt.</w:t>
            </w:r>
          </w:p>
          <w:p w:rsidR="009836FE" w:rsidRDefault="009836FE" w:rsidP="001A404A">
            <w:pPr>
              <w:pStyle w:val="berschrift2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</w:rPr>
              <w:t xml:space="preserve">Zu berücksichtigen bei der strategischen Lärmkartierung war mit der BAB A 215 nur eine Hauptverkehrsstraße mit einem jährlichen Kraftfahrzeugsaufkommen von mehr als </w:t>
            </w:r>
            <w:r w:rsidR="001A404A">
              <w:rPr>
                <w:rFonts w:cs="Arial"/>
                <w:b w:val="0"/>
                <w:bCs w:val="0"/>
              </w:rPr>
              <w:t>drei</w:t>
            </w:r>
            <w:r>
              <w:rPr>
                <w:rFonts w:cs="Arial"/>
                <w:b w:val="0"/>
                <w:bCs w:val="0"/>
              </w:rPr>
              <w:t xml:space="preserve"> Millionen</w:t>
            </w:r>
            <w:r w:rsidR="008625D4">
              <w:rPr>
                <w:rFonts w:cs="Arial"/>
                <w:b w:val="0"/>
                <w:bCs w:val="0"/>
              </w:rPr>
              <w:t xml:space="preserve"> Fahrzeugen</w:t>
            </w:r>
            <w:r>
              <w:rPr>
                <w:rFonts w:cs="Arial"/>
                <w:b w:val="0"/>
                <w:bCs w:val="0"/>
              </w:rPr>
              <w:t>.</w:t>
            </w:r>
          </w:p>
        </w:tc>
      </w:tr>
    </w:tbl>
    <w:p w:rsidR="009836FE" w:rsidRDefault="009836FE">
      <w:pPr>
        <w:rPr>
          <w:rFonts w:cs="Arial"/>
          <w:b/>
        </w:rPr>
      </w:pPr>
      <w:r>
        <w:rPr>
          <w:rFonts w:cs="Arial"/>
          <w:b/>
        </w:rPr>
        <w:t>1.2 Für die Aktionsplanung zuständige Behörde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9836FE">
            <w:pPr>
              <w:pStyle w:val="StandardWeb"/>
              <w:spacing w:before="120" w:beforeAutospacing="0" w:after="120" w:afterAutospacing="0"/>
              <w:rPr>
                <w:rFonts w:cs="Arial"/>
              </w:rPr>
            </w:pPr>
            <w:r>
              <w:rPr>
                <w:rFonts w:cs="Arial"/>
              </w:rPr>
              <w:t>Amt Molfsee (Gemeinde Rumohr)</w:t>
            </w:r>
          </w:p>
          <w:p w:rsidR="009836FE" w:rsidRDefault="009836FE">
            <w:pPr>
              <w:pStyle w:val="StandardWeb"/>
              <w:spacing w:before="120" w:beforeAutospacing="0" w:after="120" w:afterAutospacing="0"/>
              <w:rPr>
                <w:rFonts w:cs="Arial"/>
              </w:rPr>
            </w:pPr>
            <w:r>
              <w:rPr>
                <w:rFonts w:cs="Arial"/>
              </w:rPr>
              <w:t>Mielkendorfer Weg 2</w:t>
            </w:r>
          </w:p>
          <w:p w:rsidR="009836FE" w:rsidRDefault="009836FE">
            <w:pPr>
              <w:rPr>
                <w:rFonts w:cs="Arial"/>
              </w:rPr>
            </w:pPr>
            <w:r>
              <w:rPr>
                <w:rFonts w:cs="Arial"/>
              </w:rPr>
              <w:t>24113 Molfsee</w:t>
            </w:r>
          </w:p>
        </w:tc>
      </w:tr>
    </w:tbl>
    <w:p w:rsidR="009836FE" w:rsidRDefault="009836FE">
      <w:pPr>
        <w:rPr>
          <w:rFonts w:cs="Arial"/>
          <w:b/>
        </w:rPr>
      </w:pPr>
      <w:r>
        <w:rPr>
          <w:rFonts w:cs="Arial"/>
          <w:b/>
        </w:rPr>
        <w:t>1.3 Rechtlicher Hintergrund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9836FE">
            <w:pPr>
              <w:numPr>
                <w:ilvl w:val="0"/>
                <w:numId w:val="2"/>
              </w:numPr>
              <w:tabs>
                <w:tab w:val="num" w:pos="360"/>
              </w:tabs>
              <w:ind w:left="714" w:hanging="357"/>
            </w:pPr>
            <w:r>
              <w:rPr>
                <w:rFonts w:cs="Arial"/>
              </w:rPr>
              <w:t xml:space="preserve">Richtlinie 2002/49/EG des europäischen Parlaments und des Rates vom </w:t>
            </w:r>
            <w:r w:rsidR="005A495A">
              <w:rPr>
                <w:rFonts w:cs="Arial"/>
              </w:rPr>
              <w:t xml:space="preserve">  </w:t>
            </w:r>
            <w:r>
              <w:rPr>
                <w:rFonts w:cs="Arial"/>
              </w:rPr>
              <w:lastRenderedPageBreak/>
              <w:t xml:space="preserve">25. Juni 2002 über die Bewertung und Bekämpfung von Umgebungslärm </w:t>
            </w:r>
          </w:p>
          <w:p w:rsidR="009836FE" w:rsidRDefault="009836FE">
            <w:pPr>
              <w:pStyle w:val="StandardWeb"/>
              <w:numPr>
                <w:ilvl w:val="0"/>
                <w:numId w:val="2"/>
              </w:numPr>
              <w:spacing w:before="120" w:beforeAutospacing="0" w:after="120" w:afterAutospacing="0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§§ 47a-f Bundes-Immissionsschutzgesetz</w:t>
            </w:r>
          </w:p>
        </w:tc>
      </w:tr>
    </w:tbl>
    <w:p w:rsidR="009836FE" w:rsidRDefault="009836FE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1.4 Geltende Grenzwerte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9836FE">
            <w:pPr>
              <w:rPr>
                <w:rFonts w:cs="Arial"/>
              </w:rPr>
            </w:pPr>
            <w:r>
              <w:rPr>
                <w:rFonts w:cs="Arial"/>
              </w:rPr>
              <w:t>Siehe von Deutschland an die Europäische Kommission übermittelten Grenzwerte</w:t>
            </w:r>
            <w:r>
              <w:t>.</w:t>
            </w:r>
          </w:p>
        </w:tc>
      </w:tr>
    </w:tbl>
    <w:p w:rsidR="009836FE" w:rsidRDefault="009836FE">
      <w:pPr>
        <w:keepNext/>
        <w:spacing w:before="360"/>
        <w:rPr>
          <w:rFonts w:cs="Arial"/>
          <w:b/>
          <w:sz w:val="28"/>
        </w:rPr>
      </w:pPr>
      <w:r>
        <w:rPr>
          <w:rFonts w:cs="Arial"/>
          <w:b/>
          <w:sz w:val="28"/>
        </w:rPr>
        <w:t>2. Bewertung der Ist-Situation</w:t>
      </w:r>
    </w:p>
    <w:p w:rsidR="009836FE" w:rsidRDefault="009836FE">
      <w:pPr>
        <w:keepNext/>
        <w:rPr>
          <w:rFonts w:cs="Arial"/>
          <w:bCs/>
        </w:rPr>
      </w:pPr>
      <w:r>
        <w:rPr>
          <w:rFonts w:cs="Arial"/>
          <w:b/>
        </w:rPr>
        <w:t>2.1 Zusammenfassung der Daten der Lärmkarten</w:t>
      </w:r>
    </w:p>
    <w:p w:rsidR="009836FE" w:rsidRDefault="009836FE">
      <w:pPr>
        <w:pStyle w:val="Fuzeile"/>
        <w:keepNext/>
        <w:tabs>
          <w:tab w:val="clear" w:pos="4536"/>
          <w:tab w:val="clear" w:pos="9072"/>
        </w:tabs>
        <w:rPr>
          <w:rFonts w:cs="Arial"/>
          <w:bCs/>
        </w:rPr>
      </w:pPr>
      <w:r>
        <w:rPr>
          <w:rFonts w:cs="Arial"/>
          <w:bCs/>
        </w:rPr>
        <w:t>Geschätzte Zahl der von Lärm an Haup</w:t>
      </w:r>
      <w:r>
        <w:rPr>
          <w:rFonts w:cs="Arial"/>
          <w:bCs/>
        </w:rPr>
        <w:t>t</w:t>
      </w:r>
      <w:r>
        <w:rPr>
          <w:rFonts w:cs="Arial"/>
          <w:bCs/>
        </w:rPr>
        <w:t>verkehrsstraßen belasteten Menschen (auf 10 gerundet)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236"/>
        <w:gridCol w:w="1744"/>
        <w:gridCol w:w="2520"/>
      </w:tblGrid>
      <w:tr w:rsidR="009836FE">
        <w:tc>
          <w:tcPr>
            <w:tcW w:w="1800" w:type="dxa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L</w:t>
            </w:r>
            <w:r>
              <w:rPr>
                <w:b/>
                <w:bCs/>
                <w:sz w:val="22"/>
                <w:vertAlign w:val="subscript"/>
                <w:lang w:val="en-GB"/>
              </w:rPr>
              <w:t xml:space="preserve">DEN   </w:t>
            </w:r>
            <w:r>
              <w:rPr>
                <w:b/>
                <w:bCs/>
                <w:sz w:val="22"/>
                <w:lang w:val="en-GB"/>
              </w:rPr>
              <w:t>dB(A)</w:t>
            </w:r>
          </w:p>
          <w:p w:rsidR="00EA4E63" w:rsidRDefault="00EA4E63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(24 </w:t>
            </w:r>
            <w:proofErr w:type="spellStart"/>
            <w:r>
              <w:rPr>
                <w:b/>
                <w:bCs/>
                <w:sz w:val="22"/>
                <w:lang w:val="en-GB"/>
              </w:rPr>
              <w:t>Stunden</w:t>
            </w:r>
            <w:proofErr w:type="spellEnd"/>
            <w:r>
              <w:rPr>
                <w:b/>
                <w:bCs/>
                <w:sz w:val="22"/>
                <w:lang w:val="en-GB"/>
              </w:rPr>
              <w:t>)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Belastete Me</w:t>
            </w:r>
            <w:r>
              <w:rPr>
                <w:b/>
                <w:bCs/>
                <w:sz w:val="22"/>
              </w:rPr>
              <w:t>n</w:t>
            </w:r>
            <w:r>
              <w:rPr>
                <w:b/>
                <w:bCs/>
                <w:sz w:val="22"/>
              </w:rPr>
              <w:t xml:space="preserve">schen </w:t>
            </w:r>
            <w:r>
              <w:rPr>
                <w:b/>
                <w:bCs/>
                <w:sz w:val="22"/>
              </w:rPr>
              <w:br/>
              <w:t>Straßenlärm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</w:t>
            </w:r>
            <w:r>
              <w:rPr>
                <w:b/>
                <w:bCs/>
                <w:sz w:val="22"/>
                <w:vertAlign w:val="subscript"/>
              </w:rPr>
              <w:t xml:space="preserve">Night   </w:t>
            </w:r>
            <w:r>
              <w:rPr>
                <w:b/>
                <w:bCs/>
                <w:sz w:val="22"/>
              </w:rPr>
              <w:t>dB(A)</w:t>
            </w:r>
          </w:p>
          <w:p w:rsidR="00EA4E63" w:rsidRDefault="00EA4E63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(22 bis 6 Uhr)</w:t>
            </w:r>
          </w:p>
        </w:tc>
        <w:tc>
          <w:tcPr>
            <w:tcW w:w="2520" w:type="dxa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Belastete Me</w:t>
            </w:r>
            <w:r>
              <w:rPr>
                <w:b/>
                <w:bCs/>
                <w:sz w:val="22"/>
              </w:rPr>
              <w:t>n</w:t>
            </w:r>
            <w:r>
              <w:rPr>
                <w:b/>
                <w:bCs/>
                <w:sz w:val="22"/>
              </w:rPr>
              <w:t>schen Straßenlärm</w:t>
            </w:r>
          </w:p>
        </w:tc>
      </w:tr>
      <w:tr w:rsidR="009836FE">
        <w:tc>
          <w:tcPr>
            <w:tcW w:w="1800" w:type="dxa"/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55 bis 60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836FE" w:rsidRDefault="00EA4E63" w:rsidP="001A404A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50 bis 55</w:t>
            </w:r>
          </w:p>
        </w:tc>
        <w:tc>
          <w:tcPr>
            <w:tcW w:w="2520" w:type="dxa"/>
            <w:vAlign w:val="center"/>
          </w:tcPr>
          <w:p w:rsidR="009836FE" w:rsidRDefault="001A404A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9836FE">
              <w:rPr>
                <w:rFonts w:cs="Arial"/>
                <w:sz w:val="22"/>
              </w:rPr>
              <w:t>0</w:t>
            </w:r>
          </w:p>
        </w:tc>
      </w:tr>
      <w:tr w:rsidR="009836FE">
        <w:tc>
          <w:tcPr>
            <w:tcW w:w="1800" w:type="dxa"/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60 bis 65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836FE" w:rsidRDefault="00EA4E63" w:rsidP="00EA4E63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9836FE">
              <w:rPr>
                <w:rFonts w:cs="Arial"/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55 bis 60</w:t>
            </w:r>
          </w:p>
        </w:tc>
        <w:tc>
          <w:tcPr>
            <w:tcW w:w="2520" w:type="dxa"/>
            <w:vAlign w:val="center"/>
          </w:tcPr>
          <w:p w:rsidR="009836FE" w:rsidRDefault="00EA4E63" w:rsidP="00EA4E63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836FE">
              <w:rPr>
                <w:rFonts w:cs="Arial"/>
                <w:sz w:val="22"/>
              </w:rPr>
              <w:t>0</w:t>
            </w:r>
          </w:p>
        </w:tc>
      </w:tr>
      <w:tr w:rsidR="009836FE">
        <w:tc>
          <w:tcPr>
            <w:tcW w:w="1800" w:type="dxa"/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65 bis 70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836FE" w:rsidRDefault="00EA4E63" w:rsidP="00EA4E63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60 bis 65</w:t>
            </w:r>
          </w:p>
        </w:tc>
        <w:tc>
          <w:tcPr>
            <w:tcW w:w="2520" w:type="dxa"/>
            <w:vAlign w:val="center"/>
          </w:tcPr>
          <w:p w:rsidR="009836FE" w:rsidRDefault="001A404A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836FE">
              <w:rPr>
                <w:rFonts w:cs="Arial"/>
                <w:sz w:val="22"/>
              </w:rPr>
              <w:t>0</w:t>
            </w:r>
          </w:p>
        </w:tc>
      </w:tr>
      <w:tr w:rsidR="009836FE">
        <w:tc>
          <w:tcPr>
            <w:tcW w:w="1800" w:type="dxa"/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70 bis 75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836FE" w:rsidRDefault="00EA4E63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65 bis 70</w:t>
            </w:r>
          </w:p>
        </w:tc>
        <w:tc>
          <w:tcPr>
            <w:tcW w:w="2520" w:type="dxa"/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9836FE">
        <w:tc>
          <w:tcPr>
            <w:tcW w:w="1800" w:type="dxa"/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75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836FE" w:rsidRDefault="009836FE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70</w:t>
            </w:r>
          </w:p>
        </w:tc>
        <w:tc>
          <w:tcPr>
            <w:tcW w:w="2520" w:type="dxa"/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9836FE">
        <w:trPr>
          <w:trHeight w:val="80"/>
        </w:trPr>
        <w:tc>
          <w:tcPr>
            <w:tcW w:w="1800" w:type="dxa"/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Summe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836FE" w:rsidRDefault="001A404A" w:rsidP="00EA4E63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A4E63">
              <w:rPr>
                <w:rFonts w:cs="Arial"/>
                <w:sz w:val="22"/>
              </w:rPr>
              <w:t>5</w:t>
            </w:r>
            <w:r w:rsidR="009836FE">
              <w:rPr>
                <w:rFonts w:cs="Arial"/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836FE" w:rsidRDefault="009836FE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Summe</w:t>
            </w:r>
          </w:p>
        </w:tc>
        <w:tc>
          <w:tcPr>
            <w:tcW w:w="2520" w:type="dxa"/>
            <w:vAlign w:val="center"/>
          </w:tcPr>
          <w:p w:rsidR="009836FE" w:rsidRDefault="001A404A" w:rsidP="00EA4E63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A4E63">
              <w:rPr>
                <w:rFonts w:cs="Arial"/>
                <w:sz w:val="22"/>
              </w:rPr>
              <w:t>0</w:t>
            </w:r>
            <w:r w:rsidR="009836FE">
              <w:rPr>
                <w:rFonts w:cs="Arial"/>
                <w:sz w:val="22"/>
              </w:rPr>
              <w:t>0</w:t>
            </w:r>
          </w:p>
        </w:tc>
      </w:tr>
    </w:tbl>
    <w:p w:rsidR="009836FE" w:rsidRDefault="009836FE">
      <w:pPr>
        <w:outlineLvl w:val="1"/>
        <w:rPr>
          <w:rFonts w:cs="Arial"/>
          <w:bCs/>
        </w:rPr>
      </w:pPr>
    </w:p>
    <w:p w:rsidR="009836FE" w:rsidRDefault="009836FE">
      <w:pPr>
        <w:outlineLvl w:val="1"/>
        <w:rPr>
          <w:rFonts w:cs="Arial"/>
          <w:bCs/>
        </w:rPr>
      </w:pPr>
      <w:r>
        <w:rPr>
          <w:rFonts w:cs="Arial"/>
          <w:bCs/>
        </w:rPr>
        <w:t xml:space="preserve">Geschätzte Zahl der von Lärm an Hauptverkehrsstraßen belasteten Fläche und  Wohnungen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1984"/>
      </w:tblGrid>
      <w:tr w:rsidR="009836FE">
        <w:tc>
          <w:tcPr>
            <w:tcW w:w="2835" w:type="dxa"/>
            <w:vAlign w:val="center"/>
          </w:tcPr>
          <w:p w:rsidR="009836FE" w:rsidRDefault="009836FE">
            <w:pPr>
              <w:spacing w:before="40" w:after="4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</w:t>
            </w:r>
            <w:r>
              <w:rPr>
                <w:rFonts w:cs="Arial"/>
                <w:b/>
                <w:bCs/>
                <w:sz w:val="22"/>
                <w:vertAlign w:val="subscript"/>
              </w:rPr>
              <w:t xml:space="preserve">DEN </w:t>
            </w:r>
            <w:r>
              <w:rPr>
                <w:rFonts w:cs="Arial"/>
                <w:b/>
                <w:bCs/>
                <w:sz w:val="22"/>
              </w:rPr>
              <w:t>dB(A)</w:t>
            </w:r>
          </w:p>
        </w:tc>
        <w:tc>
          <w:tcPr>
            <w:tcW w:w="2127" w:type="dxa"/>
            <w:vAlign w:val="center"/>
          </w:tcPr>
          <w:p w:rsidR="009836FE" w:rsidRDefault="009836FE">
            <w:pPr>
              <w:spacing w:before="40" w:after="4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Fläche in km²</w:t>
            </w:r>
          </w:p>
        </w:tc>
        <w:tc>
          <w:tcPr>
            <w:tcW w:w="1984" w:type="dxa"/>
            <w:vAlign w:val="center"/>
          </w:tcPr>
          <w:p w:rsidR="009836FE" w:rsidRDefault="009836FE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>Wohnungen</w:t>
            </w:r>
          </w:p>
        </w:tc>
      </w:tr>
      <w:tr w:rsidR="009836FE">
        <w:tc>
          <w:tcPr>
            <w:tcW w:w="2835" w:type="dxa"/>
            <w:vAlign w:val="center"/>
          </w:tcPr>
          <w:p w:rsidR="009836FE" w:rsidRDefault="00EA4E63" w:rsidP="00EA4E63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Über </w:t>
            </w:r>
            <w:r w:rsidR="009836FE">
              <w:rPr>
                <w:rFonts w:cs="Arial"/>
                <w:sz w:val="22"/>
              </w:rPr>
              <w:t xml:space="preserve">55 </w:t>
            </w:r>
          </w:p>
        </w:tc>
        <w:tc>
          <w:tcPr>
            <w:tcW w:w="2127" w:type="dxa"/>
            <w:vAlign w:val="center"/>
          </w:tcPr>
          <w:p w:rsidR="009836FE" w:rsidRDefault="00EA4E63" w:rsidP="00EA4E63">
            <w:pPr>
              <w:spacing w:before="40" w:after="40"/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3,625</w:t>
            </w:r>
          </w:p>
        </w:tc>
        <w:tc>
          <w:tcPr>
            <w:tcW w:w="1984" w:type="dxa"/>
            <w:vAlign w:val="center"/>
          </w:tcPr>
          <w:p w:rsidR="009836FE" w:rsidRDefault="001A404A" w:rsidP="00EA4E63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A4E63">
              <w:rPr>
                <w:rFonts w:cs="Arial"/>
                <w:sz w:val="22"/>
              </w:rPr>
              <w:t>22</w:t>
            </w:r>
          </w:p>
        </w:tc>
      </w:tr>
      <w:tr w:rsidR="009836FE">
        <w:tc>
          <w:tcPr>
            <w:tcW w:w="2835" w:type="dxa"/>
            <w:vAlign w:val="center"/>
          </w:tcPr>
          <w:p w:rsidR="009836FE" w:rsidRDefault="00EA4E63" w:rsidP="00EA4E63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Über </w:t>
            </w:r>
            <w:r w:rsidR="009836FE">
              <w:rPr>
                <w:rFonts w:cs="Arial"/>
                <w:sz w:val="22"/>
              </w:rPr>
              <w:t xml:space="preserve">65 </w:t>
            </w:r>
          </w:p>
        </w:tc>
        <w:tc>
          <w:tcPr>
            <w:tcW w:w="2127" w:type="dxa"/>
          </w:tcPr>
          <w:p w:rsidR="009836FE" w:rsidRDefault="00EA4E63" w:rsidP="00EA4E63">
            <w:pPr>
              <w:jc w:val="center"/>
            </w:pPr>
            <w:r>
              <w:rPr>
                <w:rFonts w:cs="Arial"/>
                <w:sz w:val="22"/>
              </w:rPr>
              <w:t>1,025</w:t>
            </w:r>
          </w:p>
        </w:tc>
        <w:tc>
          <w:tcPr>
            <w:tcW w:w="1984" w:type="dxa"/>
            <w:vAlign w:val="center"/>
          </w:tcPr>
          <w:p w:rsidR="009836FE" w:rsidRDefault="00EA4E63" w:rsidP="00EA4E63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9836FE">
        <w:tc>
          <w:tcPr>
            <w:tcW w:w="2835" w:type="dxa"/>
            <w:vAlign w:val="center"/>
          </w:tcPr>
          <w:p w:rsidR="009836FE" w:rsidRDefault="009836FE" w:rsidP="00EA4E63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über 75 </w:t>
            </w:r>
          </w:p>
        </w:tc>
        <w:tc>
          <w:tcPr>
            <w:tcW w:w="2127" w:type="dxa"/>
          </w:tcPr>
          <w:p w:rsidR="009836FE" w:rsidRDefault="00EA4E63" w:rsidP="00EA4E63">
            <w:pPr>
              <w:jc w:val="center"/>
            </w:pPr>
            <w:r>
              <w:rPr>
                <w:rFonts w:cs="Arial"/>
                <w:sz w:val="22"/>
              </w:rPr>
              <w:t>0,284</w:t>
            </w:r>
          </w:p>
        </w:tc>
        <w:tc>
          <w:tcPr>
            <w:tcW w:w="1984" w:type="dxa"/>
            <w:vAlign w:val="center"/>
          </w:tcPr>
          <w:p w:rsidR="009836FE" w:rsidRDefault="009836FE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</w:tbl>
    <w:p w:rsidR="009836FE" w:rsidRDefault="009836FE">
      <w:pPr>
        <w:ind w:left="426" w:hanging="426"/>
        <w:rPr>
          <w:rFonts w:cs="Arial"/>
          <w:b/>
        </w:rPr>
      </w:pPr>
      <w:r>
        <w:rPr>
          <w:rFonts w:cs="Arial"/>
          <w:b/>
        </w:rPr>
        <w:t>2.2 Bewertung der Anzahl von Pe</w:t>
      </w:r>
      <w:r>
        <w:rPr>
          <w:rFonts w:cs="Arial"/>
          <w:b/>
        </w:rPr>
        <w:t>r</w:t>
      </w:r>
      <w:r>
        <w:rPr>
          <w:rFonts w:cs="Arial"/>
          <w:b/>
        </w:rPr>
        <w:t>sonen, die Lärm ausgesetzt sind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9836FE">
            <w:bookmarkStart w:id="1" w:name="OLE_LINK1"/>
            <w:r>
              <w:t xml:space="preserve">Es sind ca. </w:t>
            </w:r>
            <w:r w:rsidR="001A404A">
              <w:t>2</w:t>
            </w:r>
            <w:r w:rsidR="00EA4E63">
              <w:t>5</w:t>
            </w:r>
            <w:r w:rsidR="001A404A">
              <w:t>0</w:t>
            </w:r>
            <w:r>
              <w:t xml:space="preserve"> Personen und somit rund </w:t>
            </w:r>
            <w:r w:rsidR="00EA4E63">
              <w:t>30</w:t>
            </w:r>
            <w:r>
              <w:t> % der Einwohner der Gemeinde Rumohr durch Umgebungslärm über 55 dB(A) L</w:t>
            </w:r>
            <w:r>
              <w:rPr>
                <w:vertAlign w:val="subscript"/>
              </w:rPr>
              <w:t>DEN</w:t>
            </w:r>
            <w:r>
              <w:t xml:space="preserve"> verursacht durch Hauptve</w:t>
            </w:r>
            <w:r>
              <w:t>r</w:t>
            </w:r>
            <w:r>
              <w:t>kehrsstraßen (&gt; </w:t>
            </w:r>
            <w:r w:rsidR="001A404A">
              <w:t>3</w:t>
            </w:r>
            <w:r>
              <w:t xml:space="preserve"> Mio. Kfz/a) betroffen. </w:t>
            </w:r>
          </w:p>
          <w:p w:rsidR="009836FE" w:rsidRDefault="009836FE">
            <w:r>
              <w:t>Von hohen Belastungen mit potenziell gesundheitsgefährdender Wirkung über 65 dB(A) L</w:t>
            </w:r>
            <w:r>
              <w:rPr>
                <w:vertAlign w:val="subscript"/>
              </w:rPr>
              <w:t>DEN</w:t>
            </w:r>
            <w:r>
              <w:t xml:space="preserve"> sind </w:t>
            </w:r>
            <w:r w:rsidR="00EA4E63">
              <w:t>10</w:t>
            </w:r>
            <w:r>
              <w:t xml:space="preserve"> Personen, über 55 dB(A) </w:t>
            </w:r>
            <w:proofErr w:type="spellStart"/>
            <w:r>
              <w:t>L</w:t>
            </w:r>
            <w:r>
              <w:rPr>
                <w:vertAlign w:val="subscript"/>
              </w:rPr>
              <w:t>Night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sind </w:t>
            </w:r>
            <w:r w:rsidR="00EA4E63">
              <w:t>10</w:t>
            </w:r>
            <w:r>
              <w:t xml:space="preserve"> Personen betro</w:t>
            </w:r>
            <w:r>
              <w:t>f</w:t>
            </w:r>
            <w:r>
              <w:t xml:space="preserve">fen. Dies entspricht für den Nachtzeitraum ca. </w:t>
            </w:r>
            <w:r w:rsidR="00EA4E63">
              <w:t>1</w:t>
            </w:r>
            <w:r>
              <w:t xml:space="preserve"> % der Gesamtbevölkerung. </w:t>
            </w:r>
          </w:p>
          <w:p w:rsidR="009836FE" w:rsidRDefault="009836FE" w:rsidP="00EA4E63">
            <w:pPr>
              <w:rPr>
                <w:rFonts w:cs="Arial"/>
              </w:rPr>
            </w:pPr>
            <w:r>
              <w:t>Sehr hohen Belastungen mit L</w:t>
            </w:r>
            <w:r>
              <w:rPr>
                <w:vertAlign w:val="subscript"/>
              </w:rPr>
              <w:t>DEN</w:t>
            </w:r>
            <w:r>
              <w:t xml:space="preserve"> über 70 dB(A)</w:t>
            </w:r>
            <w:r w:rsidR="001A404A">
              <w:t xml:space="preserve"> sind </w:t>
            </w:r>
            <w:r w:rsidR="00EA4E63">
              <w:t>keine</w:t>
            </w:r>
            <w:r w:rsidR="001A404A">
              <w:t xml:space="preserve"> Bewohner</w:t>
            </w:r>
            <w:r>
              <w:t xml:space="preserve"> und </w:t>
            </w:r>
            <w:proofErr w:type="spellStart"/>
            <w:r>
              <w:t>L</w:t>
            </w:r>
            <w:r>
              <w:rPr>
                <w:vertAlign w:val="subscript"/>
              </w:rPr>
              <w:t>Night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über 60 dB(A) </w:t>
            </w:r>
            <w:r w:rsidR="001A404A">
              <w:t xml:space="preserve">sind </w:t>
            </w:r>
            <w:r w:rsidR="00EA4E63">
              <w:t>1</w:t>
            </w:r>
            <w:r w:rsidR="001A404A">
              <w:t>0</w:t>
            </w:r>
            <w:r>
              <w:t xml:space="preserve"> Bewohner ausgesetzt. </w:t>
            </w:r>
            <w:bookmarkEnd w:id="1"/>
          </w:p>
        </w:tc>
      </w:tr>
    </w:tbl>
    <w:p w:rsidR="009836FE" w:rsidRDefault="009836FE">
      <w:pPr>
        <w:rPr>
          <w:rFonts w:cs="Arial"/>
          <w:b/>
        </w:rPr>
      </w:pPr>
      <w:r>
        <w:rPr>
          <w:rFonts w:cs="Arial"/>
          <w:b/>
        </w:rPr>
        <w:lastRenderedPageBreak/>
        <w:t>2.3 Angabe von Lärmproblemen und verbesserungsbedürftigen Situ</w:t>
      </w:r>
      <w:r>
        <w:rPr>
          <w:rFonts w:cs="Arial"/>
          <w:b/>
        </w:rPr>
        <w:t>a</w:t>
      </w:r>
      <w:r>
        <w:rPr>
          <w:rFonts w:cs="Arial"/>
          <w:b/>
        </w:rPr>
        <w:t>tionen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9836FE">
            <w:r>
              <w:t>Der untersuchte Umgebungslärm geht von der BAB A215</w:t>
            </w:r>
            <w:r w:rsidR="009D39FB">
              <w:t xml:space="preserve"> sowie von der L318</w:t>
            </w:r>
            <w:r>
              <w:t xml:space="preserve"> aus. Die belasteten Bewohner der Gemeinde Rumohr befinden sich vorrangig im östl</w:t>
            </w:r>
            <w:r>
              <w:t>i</w:t>
            </w:r>
            <w:r>
              <w:t>chen Bereich des gleichnamigen Dorfes sowie im südöstlichen ausgelagerten Ort</w:t>
            </w:r>
            <w:r>
              <w:t>s</w:t>
            </w:r>
            <w:r>
              <w:t>bereich östlich der BAB A215. Ein kleiner Teil der durch Umgebungslärm belast</w:t>
            </w:r>
            <w:r>
              <w:t>e</w:t>
            </w:r>
            <w:r>
              <w:t>ten Me</w:t>
            </w:r>
            <w:r>
              <w:t>n</w:t>
            </w:r>
            <w:r>
              <w:t>schen lebt in</w:t>
            </w:r>
            <w:r w:rsidR="009D39FB">
              <w:t xml:space="preserve"> Rothenhahn und</w:t>
            </w:r>
            <w:r>
              <w:t xml:space="preserve"> Rumohrholz. </w:t>
            </w:r>
          </w:p>
          <w:p w:rsidR="009836FE" w:rsidRDefault="009836FE">
            <w:pPr>
              <w:rPr>
                <w:rFonts w:cs="Arial"/>
              </w:rPr>
            </w:pPr>
            <w:r>
              <w:t>Gemäß der Belastetentabellen sowie den Lärmka</w:t>
            </w:r>
            <w:r>
              <w:t>r</w:t>
            </w:r>
            <w:r>
              <w:t>ten werden</w:t>
            </w:r>
            <w:r>
              <w:rPr>
                <w:rFonts w:cs="Arial"/>
              </w:rPr>
              <w:t xml:space="preserve"> die Grenzwerte der 16. BImSchV für Wohngebiete tags und nachts im Ort Rumohr nicht in allen Bere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chen eingehalten. </w:t>
            </w:r>
          </w:p>
          <w:p w:rsidR="009836FE" w:rsidRDefault="009836FE">
            <w:pPr>
              <w:rPr>
                <w:rFonts w:cs="Arial"/>
              </w:rPr>
            </w:pPr>
            <w:r>
              <w:rPr>
                <w:rFonts w:cs="Arial"/>
              </w:rPr>
              <w:t>Besonders der nordöstliche Rand des Ortes Rumohr (Langsoll, Alter Kieler Weg</w:t>
            </w:r>
            <w:r w:rsidR="009D39FB">
              <w:rPr>
                <w:rFonts w:cs="Arial"/>
              </w:rPr>
              <w:t>, Wischhof</w:t>
            </w:r>
            <w:r>
              <w:rPr>
                <w:rFonts w:cs="Arial"/>
              </w:rPr>
              <w:t>) sowie der östlich der BAB A215 gelegene Ortsteil sind stark in denen nach Flächennutzungsplan ausgewiesenen Wohnbauflächen von Umgebungslärm, teilweise mit potenziell gesundheitsgefährdender Wirkung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 xml:space="preserve">lastet. </w:t>
            </w:r>
          </w:p>
          <w:p w:rsidR="009836FE" w:rsidRDefault="009836FE">
            <w:pPr>
              <w:rPr>
                <w:rFonts w:cs="Arial"/>
                <w:sz w:val="16"/>
                <w:szCs w:val="16"/>
              </w:rPr>
            </w:pPr>
            <w:r>
              <w:t>Die zur Gemeinde zählenden Orte Bornhorst sowie Rumohrhütten sind nicht betro</w:t>
            </w:r>
            <w:r>
              <w:t>f</w:t>
            </w:r>
            <w:r>
              <w:t>fen.</w:t>
            </w:r>
          </w:p>
        </w:tc>
      </w:tr>
    </w:tbl>
    <w:p w:rsidR="009836FE" w:rsidRDefault="009836FE">
      <w:pPr>
        <w:keepNext/>
        <w:spacing w:before="360"/>
        <w:rPr>
          <w:rFonts w:cs="Arial"/>
          <w:b/>
          <w:sz w:val="28"/>
        </w:rPr>
      </w:pPr>
      <w:r>
        <w:rPr>
          <w:rFonts w:cs="Arial"/>
          <w:b/>
          <w:sz w:val="28"/>
        </w:rPr>
        <w:t>3. Maßnahmenplanung</w:t>
      </w:r>
    </w:p>
    <w:p w:rsidR="009836FE" w:rsidRDefault="009836FE">
      <w:pPr>
        <w:keepNext/>
        <w:jc w:val="both"/>
        <w:rPr>
          <w:rFonts w:cs="Arial"/>
          <w:b/>
        </w:rPr>
      </w:pPr>
      <w:r>
        <w:rPr>
          <w:rFonts w:cs="Arial"/>
          <w:b/>
        </w:rPr>
        <w:t>3.1 Bereits vorhandene Maßnahmen zur Lär</w:t>
      </w:r>
      <w:r>
        <w:rPr>
          <w:rFonts w:cs="Arial"/>
          <w:b/>
        </w:rPr>
        <w:t>m</w:t>
      </w:r>
      <w:r>
        <w:rPr>
          <w:rFonts w:cs="Arial"/>
          <w:b/>
        </w:rPr>
        <w:t>minderung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BF26B3" w:rsidRDefault="00BF26B3" w:rsidP="00BF26B3">
            <w:r>
              <w:t>Für einen Teilbereich der BAB A 215besteht innerhalb des Gemeindegebietes eine Geschwindigkeitsbegrenzung auf 120 km/h für den Nachtzeitraum.</w:t>
            </w:r>
          </w:p>
          <w:p w:rsidR="009836FE" w:rsidRDefault="00BF26B3" w:rsidP="00BF26B3">
            <w:pPr>
              <w:rPr>
                <w:rFonts w:cs="Arial"/>
              </w:rPr>
            </w:pPr>
            <w:r>
              <w:t xml:space="preserve">Für den Bereich </w:t>
            </w:r>
            <w:proofErr w:type="spellStart"/>
            <w:r>
              <w:t>Wischhof</w:t>
            </w:r>
            <w:proofErr w:type="spellEnd"/>
            <w:r>
              <w:t xml:space="preserve">  wurden mit Aufstellung des Bebauungsplanes Nr. 3 „</w:t>
            </w:r>
            <w:proofErr w:type="spellStart"/>
            <w:r>
              <w:t>Wischhof</w:t>
            </w:r>
            <w:proofErr w:type="spellEnd"/>
            <w:r>
              <w:t xml:space="preserve">“ im Jahr 2005 bereits entsprechende Festsetzung  zur Lärmminderung </w:t>
            </w:r>
            <w:r w:rsidR="009836FE">
              <w:t xml:space="preserve"> </w:t>
            </w:r>
            <w:r>
              <w:t xml:space="preserve"> (passiver Lärmschutz) getroffen.</w:t>
            </w:r>
          </w:p>
        </w:tc>
      </w:tr>
    </w:tbl>
    <w:p w:rsidR="009836FE" w:rsidRDefault="009836FE">
      <w:pPr>
        <w:rPr>
          <w:rFonts w:cs="Arial"/>
          <w:b/>
        </w:rPr>
      </w:pPr>
      <w:r>
        <w:rPr>
          <w:rFonts w:cs="Arial"/>
          <w:b/>
        </w:rPr>
        <w:t>3.2 Geplante Maßnahmen zur Lärmmi</w:t>
      </w:r>
      <w:r>
        <w:rPr>
          <w:rFonts w:cs="Arial"/>
          <w:b/>
        </w:rPr>
        <w:t>n</w:t>
      </w:r>
      <w:r>
        <w:rPr>
          <w:rFonts w:cs="Arial"/>
          <w:b/>
        </w:rPr>
        <w:t>derung für die nächsten fünf Jahre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5A495A" w:rsidP="00BF26B3">
            <w:pPr>
              <w:rPr>
                <w:rFonts w:cs="Arial"/>
              </w:rPr>
            </w:pPr>
            <w:r>
              <w:rPr>
                <w:rFonts w:cs="Arial"/>
              </w:rPr>
              <w:t>keine</w:t>
            </w:r>
          </w:p>
        </w:tc>
      </w:tr>
    </w:tbl>
    <w:p w:rsidR="009836FE" w:rsidRDefault="009836FE">
      <w:pPr>
        <w:ind w:left="426" w:hanging="426"/>
        <w:rPr>
          <w:rFonts w:cs="Arial"/>
          <w:b/>
        </w:rPr>
      </w:pPr>
      <w:r>
        <w:rPr>
          <w:rFonts w:cs="Arial"/>
          <w:b/>
        </w:rPr>
        <w:t>3.3 Schutz ruhiger Gebiete / Festlegung und geplante Maßnahmen zu deren Schutz für die nächsten fünf Ja</w:t>
      </w:r>
      <w:r>
        <w:rPr>
          <w:rFonts w:cs="Arial"/>
          <w:b/>
        </w:rPr>
        <w:t>h</w:t>
      </w:r>
      <w:r>
        <w:rPr>
          <w:rFonts w:cs="Arial"/>
          <w:b/>
        </w:rPr>
        <w:t>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9836FE">
            <w:pPr>
              <w:rPr>
                <w:rFonts w:cs="Arial"/>
              </w:rPr>
            </w:pPr>
            <w:r>
              <w:rPr>
                <w:rFonts w:cs="Arial"/>
              </w:rPr>
              <w:t xml:space="preserve">Ruhige Gebiete sind im Gemeindegebiet nicht ausgewiesen. Maßnahmen zum Schutz ruhiger Gebiete sind somit nicht geplant. </w:t>
            </w:r>
          </w:p>
          <w:p w:rsidR="009836FE" w:rsidRDefault="009836FE">
            <w:pPr>
              <w:rPr>
                <w:rFonts w:cs="Arial"/>
              </w:rPr>
            </w:pPr>
            <w:r>
              <w:rPr>
                <w:rFonts w:cs="Arial"/>
              </w:rPr>
              <w:t>Jedoch sind im Gemeindegebiet der Naturpark Westensee sowie „Flächen für Maßnahmen zum Schutz, zur Pflege und Entwicklung von Boden, Natur und Lan</w:t>
            </w:r>
            <w:r>
              <w:rPr>
                <w:rFonts w:cs="Arial"/>
              </w:rPr>
              <w:t>d</w:t>
            </w:r>
            <w:r>
              <w:rPr>
                <w:rFonts w:cs="Arial"/>
              </w:rPr>
              <w:t>schaft“ ausgewiesen. Sofern diese Gebiete auch als Rückzugs- und Erholung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räume für den Menschen genutzt werden, könnten diese als ruhige Gebiete ang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sehen werden. Auszuschließen sind hiervon autobahnnahe Bereiche mit Beurte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lungspegeln deutlich über L</w:t>
            </w:r>
            <w:r>
              <w:rPr>
                <w:rFonts w:cs="Arial"/>
                <w:vertAlign w:val="subscript"/>
              </w:rPr>
              <w:t>DEN</w:t>
            </w:r>
            <w:r>
              <w:rPr>
                <w:rFonts w:cs="Arial"/>
              </w:rPr>
              <w:t xml:space="preserve"> von 55 dB(A) als schalltechnischer Indikator für eine </w:t>
            </w:r>
            <w:r>
              <w:rPr>
                <w:rFonts w:cs="Arial"/>
              </w:rPr>
              <w:lastRenderedPageBreak/>
              <w:t>entsprechende Aufenthaltsqualität. Der Schutz der genannten Flächen vor Einwi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kungen durch Lärm, sollte als Städteplanerisches Leitbild in die gemeindliche Pl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nung au</w:t>
            </w:r>
            <w:r>
              <w:rPr>
                <w:rFonts w:cs="Arial"/>
              </w:rPr>
              <w:t>f</w:t>
            </w:r>
            <w:r>
              <w:rPr>
                <w:rFonts w:cs="Arial"/>
              </w:rPr>
              <w:t>genommen werden.</w:t>
            </w:r>
          </w:p>
        </w:tc>
      </w:tr>
    </w:tbl>
    <w:p w:rsidR="009836FE" w:rsidRDefault="009836FE">
      <w:pPr>
        <w:rPr>
          <w:rFonts w:cs="Arial"/>
          <w:b/>
        </w:rPr>
      </w:pPr>
      <w:r>
        <w:rPr>
          <w:rFonts w:cs="Arial"/>
          <w:b/>
        </w:rPr>
        <w:lastRenderedPageBreak/>
        <w:t>3.4 Langfristige Strategien zu Lärmproblemen und Lärmauswirku</w:t>
      </w:r>
      <w:r>
        <w:rPr>
          <w:rFonts w:cs="Arial"/>
          <w:b/>
        </w:rPr>
        <w:t>n</w:t>
      </w:r>
      <w:r>
        <w:rPr>
          <w:rFonts w:cs="Arial"/>
          <w:b/>
        </w:rPr>
        <w:t>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9836FE">
            <w:pPr>
              <w:rPr>
                <w:rFonts w:cs="Arial"/>
              </w:rPr>
            </w:pPr>
            <w:r>
              <w:rPr>
                <w:rFonts w:cs="Arial"/>
              </w:rPr>
              <w:t>Durch die Aufnahme des Lärmschutzes in das Städtebauliche Leitbild der Gemei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 wird der Aspekt des Immissionsschutzes in allen kommunalen Planungen 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stärkt.</w:t>
            </w:r>
          </w:p>
          <w:p w:rsidR="009836FE" w:rsidRDefault="009836FE">
            <w:pPr>
              <w:rPr>
                <w:rFonts w:cs="Arial"/>
              </w:rPr>
            </w:pPr>
            <w:r>
              <w:rPr>
                <w:rFonts w:cs="Arial"/>
              </w:rPr>
              <w:t>Langfristig werden im Rahmen der Bauleitplanung verkehrssparsame Siedlung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strukturen unterstützt und unv</w:t>
            </w:r>
            <w:r w:rsidR="00FF55EE">
              <w:rPr>
                <w:rFonts w:cs="Arial"/>
              </w:rPr>
              <w:t>erträgliche Nutzungen getrennt.</w:t>
            </w:r>
          </w:p>
          <w:p w:rsidR="00FF55EE" w:rsidRDefault="00FF55EE">
            <w:pPr>
              <w:rPr>
                <w:rFonts w:cs="Arial"/>
              </w:rPr>
            </w:pPr>
            <w:r>
              <w:rPr>
                <w:rFonts w:cs="Arial"/>
              </w:rPr>
              <w:t>Bei der nächsten Deckenerneuerung auf der A 215 wird durch den Straßenbaulas</w:t>
            </w:r>
            <w:r>
              <w:rPr>
                <w:rFonts w:cs="Arial"/>
              </w:rPr>
              <w:t>t</w:t>
            </w:r>
            <w:r>
              <w:rPr>
                <w:rFonts w:cs="Arial"/>
              </w:rPr>
              <w:t>träger ein lärmmindernder Fahrbahnbelag (-2 dB(A)-Decke) eingebaut.</w:t>
            </w:r>
          </w:p>
        </w:tc>
      </w:tr>
    </w:tbl>
    <w:p w:rsidR="009836FE" w:rsidRDefault="009836FE">
      <w:pPr>
        <w:rPr>
          <w:rFonts w:cs="Arial"/>
          <w:b/>
        </w:rPr>
      </w:pPr>
      <w:r>
        <w:rPr>
          <w:rFonts w:cs="Arial"/>
          <w:b/>
        </w:rPr>
        <w:t>3.5 Schätzwerte für die Reduzierung der Zahl der b</w:t>
      </w:r>
      <w:r>
        <w:rPr>
          <w:rFonts w:cs="Arial"/>
          <w:b/>
        </w:rPr>
        <w:t>e</w:t>
      </w:r>
      <w:r>
        <w:rPr>
          <w:rFonts w:cs="Arial"/>
          <w:b/>
        </w:rPr>
        <w:t>troffenen Personen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5A495A" w:rsidP="00BF26B3">
            <w:pPr>
              <w:rPr>
                <w:rFonts w:cs="Arial"/>
              </w:rPr>
            </w:pPr>
            <w:r>
              <w:rPr>
                <w:rFonts w:cs="Arial"/>
              </w:rPr>
              <w:t>keine</w:t>
            </w:r>
          </w:p>
        </w:tc>
      </w:tr>
    </w:tbl>
    <w:p w:rsidR="009836FE" w:rsidRDefault="009836FE">
      <w:pPr>
        <w:spacing w:before="360"/>
        <w:rPr>
          <w:rFonts w:cs="Arial"/>
          <w:b/>
          <w:sz w:val="28"/>
        </w:rPr>
      </w:pPr>
      <w:r>
        <w:rPr>
          <w:rFonts w:cs="Arial"/>
          <w:b/>
          <w:sz w:val="28"/>
        </w:rPr>
        <w:t>4. Formelle und finanzielle Informationen</w:t>
      </w:r>
    </w:p>
    <w:p w:rsidR="009836FE" w:rsidRDefault="009836FE">
      <w:pPr>
        <w:rPr>
          <w:rFonts w:cs="Arial"/>
          <w:b/>
        </w:rPr>
      </w:pPr>
      <w:r>
        <w:rPr>
          <w:rFonts w:cs="Arial"/>
          <w:b/>
        </w:rPr>
        <w:t>4.1 Datum der Aufstellung des Aktion</w:t>
      </w:r>
      <w:r>
        <w:rPr>
          <w:rFonts w:cs="Arial"/>
          <w:b/>
        </w:rPr>
        <w:t>s</w:t>
      </w:r>
      <w:r>
        <w:rPr>
          <w:rFonts w:cs="Arial"/>
          <w:b/>
        </w:rPr>
        <w:t xml:space="preserve">plans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8625D4">
            <w:pPr>
              <w:rPr>
                <w:rFonts w:cs="Arial"/>
                <w:i/>
                <w:sz w:val="22"/>
                <w:szCs w:val="22"/>
              </w:rPr>
            </w:pPr>
            <w:r w:rsidRPr="008625D4">
              <w:rPr>
                <w:rFonts w:cs="Arial"/>
                <w:i/>
                <w:sz w:val="22"/>
                <w:szCs w:val="22"/>
              </w:rPr>
              <w:t>Die Beschlussfassung erfolgte in der Sitzung der Gemeindevertretung am 29.09.2008.</w:t>
            </w:r>
          </w:p>
          <w:p w:rsidR="009D39FB" w:rsidRPr="008625D4" w:rsidRDefault="009D39FB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9836FE" w:rsidRDefault="009836FE">
      <w:pPr>
        <w:rPr>
          <w:rFonts w:cs="Arial"/>
          <w:b/>
        </w:rPr>
      </w:pPr>
      <w:r>
        <w:rPr>
          <w:rFonts w:cs="Arial"/>
          <w:b/>
        </w:rPr>
        <w:t>4.2 Datum des Abschlusses des Akt</w:t>
      </w:r>
      <w:r>
        <w:rPr>
          <w:rFonts w:cs="Arial"/>
          <w:b/>
        </w:rPr>
        <w:t>i</w:t>
      </w:r>
      <w:r>
        <w:rPr>
          <w:rFonts w:cs="Arial"/>
          <w:b/>
        </w:rPr>
        <w:t>onsplans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FF55E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Der abschließende Beschluss über den Lärmaktionsplan erfolgt in der Sitzung der G</w:t>
            </w:r>
            <w:r>
              <w:rPr>
                <w:rFonts w:cs="Arial"/>
                <w:i/>
                <w:sz w:val="22"/>
                <w:szCs w:val="22"/>
              </w:rPr>
              <w:t>e</w:t>
            </w:r>
            <w:r>
              <w:rPr>
                <w:rFonts w:cs="Arial"/>
                <w:i/>
                <w:sz w:val="22"/>
                <w:szCs w:val="22"/>
              </w:rPr>
              <w:t>meindevertretung am 23.03.2009.</w:t>
            </w:r>
          </w:p>
          <w:p w:rsidR="009D39FB" w:rsidRDefault="009D39FB">
            <w:pPr>
              <w:rPr>
                <w:rFonts w:cs="Arial"/>
              </w:rPr>
            </w:pPr>
            <w:r w:rsidRPr="009D39FB">
              <w:rPr>
                <w:rFonts w:cs="Arial"/>
                <w:i/>
                <w:sz w:val="22"/>
                <w:szCs w:val="22"/>
              </w:rPr>
              <w:t>Der abschließende Beschluss über die Fortschreibung des Lärmaktionsplans erfolgte in der Sitzung der Gemeindevertretung am</w:t>
            </w:r>
            <w:r w:rsidR="00BF26B3">
              <w:rPr>
                <w:rFonts w:cs="Arial"/>
                <w:i/>
                <w:sz w:val="22"/>
                <w:szCs w:val="22"/>
              </w:rPr>
              <w:t xml:space="preserve"> 03.02.2014</w:t>
            </w:r>
            <w:r w:rsidRPr="009D39FB">
              <w:rPr>
                <w:rFonts w:cs="Arial"/>
                <w:i/>
                <w:sz w:val="22"/>
                <w:szCs w:val="22"/>
              </w:rPr>
              <w:t>…</w:t>
            </w:r>
          </w:p>
        </w:tc>
      </w:tr>
    </w:tbl>
    <w:p w:rsidR="009836FE" w:rsidRDefault="009836FE">
      <w:pPr>
        <w:keepNext/>
        <w:rPr>
          <w:rFonts w:cs="Arial"/>
        </w:rPr>
      </w:pPr>
      <w:r>
        <w:rPr>
          <w:rFonts w:cs="Arial"/>
          <w:b/>
        </w:rPr>
        <w:t>4.3 Mitwirkung der Öffentlichkeit / Prot</w:t>
      </w:r>
      <w:r>
        <w:rPr>
          <w:rFonts w:cs="Arial"/>
          <w:b/>
        </w:rPr>
        <w:t>o</w:t>
      </w:r>
      <w:r>
        <w:rPr>
          <w:rFonts w:cs="Arial"/>
          <w:b/>
        </w:rPr>
        <w:t>koll der öffentlichen Anhörungen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BA0ADE">
            <w:pPr>
              <w:rPr>
                <w:rFonts w:cs="Arial"/>
                <w:i/>
                <w:sz w:val="22"/>
                <w:szCs w:val="22"/>
              </w:rPr>
            </w:pPr>
            <w:r w:rsidRPr="00BA0ADE">
              <w:rPr>
                <w:rFonts w:cs="Arial"/>
                <w:i/>
                <w:sz w:val="22"/>
                <w:szCs w:val="22"/>
              </w:rPr>
              <w:t>Der Lärmaktionsplan wurde in der öffentlichen Sitzung der Gemeindevertretung am 29.09.2008 vorgestellt und beraten.</w:t>
            </w:r>
          </w:p>
          <w:p w:rsidR="009D39FB" w:rsidRDefault="009D39FB" w:rsidP="009D39F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In der öffentlichen Sitzung der Gemeindevertretung am </w:t>
            </w:r>
            <w:r w:rsidR="00BF26B3">
              <w:rPr>
                <w:rFonts w:cs="Arial"/>
                <w:i/>
                <w:sz w:val="22"/>
                <w:szCs w:val="22"/>
              </w:rPr>
              <w:t>03.02.2014</w:t>
            </w:r>
            <w:r>
              <w:rPr>
                <w:rFonts w:cs="Arial"/>
                <w:i/>
                <w:sz w:val="22"/>
                <w:szCs w:val="22"/>
              </w:rPr>
              <w:t xml:space="preserve"> wurde über die For</w:t>
            </w:r>
            <w:r>
              <w:rPr>
                <w:rFonts w:cs="Arial"/>
                <w:i/>
                <w:sz w:val="22"/>
                <w:szCs w:val="22"/>
              </w:rPr>
              <w:t>t</w:t>
            </w:r>
            <w:r>
              <w:rPr>
                <w:rFonts w:cs="Arial"/>
                <w:i/>
                <w:sz w:val="22"/>
                <w:szCs w:val="22"/>
              </w:rPr>
              <w:t>schreibung des Lärmaktionsplans beraten.</w:t>
            </w:r>
          </w:p>
          <w:p w:rsidR="00FF55EE" w:rsidRDefault="00FF55EE" w:rsidP="00FF55E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Die öffentliche Auslegung des Lärmaktionsplans erfolgte vom 02. bis 30. Januar 2009.</w:t>
            </w:r>
          </w:p>
          <w:p w:rsidR="009D39FB" w:rsidRDefault="009D39FB" w:rsidP="00FF55E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öffentliche Auslegung der Fortschreibung des Lärmaktionsplans fand vom </w:t>
            </w:r>
            <w:r w:rsidR="00BF26B3">
              <w:rPr>
                <w:rFonts w:cs="Arial"/>
                <w:i/>
                <w:sz w:val="22"/>
                <w:szCs w:val="22"/>
              </w:rPr>
              <w:t>01.10.2013 b</w:t>
            </w:r>
            <w:r>
              <w:rPr>
                <w:rFonts w:cs="Arial"/>
                <w:i/>
                <w:sz w:val="22"/>
                <w:szCs w:val="22"/>
              </w:rPr>
              <w:t xml:space="preserve">is </w:t>
            </w:r>
            <w:r w:rsidR="00BF26B3">
              <w:rPr>
                <w:rFonts w:cs="Arial"/>
                <w:i/>
                <w:sz w:val="22"/>
                <w:szCs w:val="22"/>
              </w:rPr>
              <w:t>01.11.2013</w:t>
            </w:r>
            <w:r>
              <w:rPr>
                <w:rFonts w:cs="Arial"/>
                <w:i/>
                <w:sz w:val="22"/>
                <w:szCs w:val="22"/>
              </w:rPr>
              <w:t xml:space="preserve"> statt.</w:t>
            </w:r>
          </w:p>
          <w:p w:rsidR="00FF55EE" w:rsidRDefault="00FF55EE" w:rsidP="00FF55E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Beratung des Lärmaktionsplans und der Abwägung nach der öffentlichen Auslegung in der Sitzung des Bau-, Wege- und Umweltausschusses am 02.03.2009.</w:t>
            </w:r>
          </w:p>
          <w:p w:rsidR="00BF26B3" w:rsidRDefault="00BF26B3" w:rsidP="00FF55E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lastRenderedPageBreak/>
              <w:t>Beratung der Fortschreibung des Lärmaktionsplans und der Abwägung nach der öffentl</w:t>
            </w:r>
            <w:r>
              <w:rPr>
                <w:rFonts w:cs="Arial"/>
                <w:i/>
                <w:sz w:val="22"/>
                <w:szCs w:val="22"/>
              </w:rPr>
              <w:t>i</w:t>
            </w:r>
            <w:r>
              <w:rPr>
                <w:rFonts w:cs="Arial"/>
                <w:i/>
                <w:sz w:val="22"/>
                <w:szCs w:val="22"/>
              </w:rPr>
              <w:t>chen Auslegung in der Sitzung des Bau, Wege- und Umweltausschusses am 13.01.2014</w:t>
            </w:r>
          </w:p>
          <w:p w:rsidR="009836FE" w:rsidRDefault="00FF55E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Abschließende Beschlussfassung des Lärmaktionsplans in der Sitzung der Gemeindeve</w:t>
            </w:r>
            <w:r>
              <w:rPr>
                <w:rFonts w:cs="Arial"/>
                <w:i/>
                <w:sz w:val="22"/>
                <w:szCs w:val="22"/>
              </w:rPr>
              <w:t>r</w:t>
            </w:r>
            <w:r>
              <w:rPr>
                <w:rFonts w:cs="Arial"/>
                <w:i/>
                <w:sz w:val="22"/>
                <w:szCs w:val="22"/>
              </w:rPr>
              <w:t>tretung am 23.03.2009.</w:t>
            </w:r>
          </w:p>
          <w:p w:rsidR="009D39FB" w:rsidRDefault="009D39FB" w:rsidP="00BF26B3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abschließende Beschlussfassung über die Fortschreibung des Lärmaktionsplans nach der öffentlichen Auslegung erfolgte am </w:t>
            </w:r>
            <w:r w:rsidR="00BF26B3">
              <w:rPr>
                <w:rFonts w:cs="Arial"/>
                <w:i/>
                <w:sz w:val="22"/>
                <w:szCs w:val="22"/>
              </w:rPr>
              <w:t>03.02.2014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</w:p>
          <w:p w:rsidR="0003255D" w:rsidRDefault="0003255D" w:rsidP="00BF26B3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Bekanntmachung der Überprüfung der Fortschreibung des Lärmaktionsplans vom 21.06.2018-29.06.2018</w:t>
            </w:r>
          </w:p>
          <w:p w:rsidR="0003255D" w:rsidRPr="00FF55EE" w:rsidRDefault="0003255D" w:rsidP="0003255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Auslegung des Entwurfs der Überprüfung der Fortschreibung des Lärmaktionsplans vom 02.07.2018-01.08.2018</w:t>
            </w:r>
          </w:p>
        </w:tc>
      </w:tr>
    </w:tbl>
    <w:p w:rsidR="009836FE" w:rsidRDefault="009836FE">
      <w:pPr>
        <w:ind w:left="426" w:hanging="426"/>
        <w:rPr>
          <w:rFonts w:cs="Arial"/>
        </w:rPr>
      </w:pPr>
      <w:r>
        <w:rPr>
          <w:rFonts w:cs="Arial"/>
          <w:b/>
        </w:rPr>
        <w:lastRenderedPageBreak/>
        <w:t>4.4 Bewertung der Durchführung und der Ergebnisse des Aktion</w:t>
      </w:r>
      <w:r>
        <w:rPr>
          <w:rFonts w:cs="Arial"/>
          <w:b/>
        </w:rPr>
        <w:t>s</w:t>
      </w:r>
      <w:r>
        <w:rPr>
          <w:rFonts w:cs="Arial"/>
          <w:b/>
        </w:rPr>
        <w:t>plans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9836FE">
            <w:pPr>
              <w:rPr>
                <w:rFonts w:cs="Arial"/>
              </w:rPr>
            </w:pPr>
            <w:r>
              <w:rPr>
                <w:rFonts w:cs="Arial"/>
              </w:rPr>
              <w:t xml:space="preserve">Die geplanten Maßnahmen des Aktionsplans wurden abgeschätzt. </w:t>
            </w:r>
          </w:p>
          <w:p w:rsidR="009836FE" w:rsidRDefault="009836FE" w:rsidP="0003255D">
            <w:pPr>
              <w:rPr>
                <w:rFonts w:cs="Arial"/>
              </w:rPr>
            </w:pPr>
            <w:r>
              <w:rPr>
                <w:rFonts w:cs="Arial"/>
              </w:rPr>
              <w:t>Im Jahr 20</w:t>
            </w:r>
            <w:r w:rsidR="0003255D">
              <w:rPr>
                <w:rFonts w:cs="Arial"/>
              </w:rPr>
              <w:t>22</w:t>
            </w:r>
            <w:r>
              <w:rPr>
                <w:rFonts w:cs="Arial"/>
              </w:rPr>
              <w:t xml:space="preserve"> sollen der dann erreichte Umsetzungsstand und die tatsächlichen Lärmminderungen mit den heutigen Prognosen verglichen werden. Ggf. feststellb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re Umsetzungsdefizite sollen mit ihren Ursachen dargestellt werden. Der vorliege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 Aktionsplan soll bis 20</w:t>
            </w:r>
            <w:r w:rsidR="0003255D">
              <w:rPr>
                <w:rFonts w:cs="Arial"/>
              </w:rPr>
              <w:t>23</w:t>
            </w:r>
            <w:r>
              <w:rPr>
                <w:rFonts w:cs="Arial"/>
              </w:rPr>
              <w:t xml:space="preserve"> überprüft und bei Bedarf fortgeschrieben werden.</w:t>
            </w:r>
          </w:p>
        </w:tc>
      </w:tr>
    </w:tbl>
    <w:p w:rsidR="009836FE" w:rsidRDefault="009836FE">
      <w:pPr>
        <w:rPr>
          <w:rFonts w:cs="Arial"/>
          <w:b/>
        </w:rPr>
      </w:pPr>
      <w:r>
        <w:rPr>
          <w:rFonts w:cs="Arial"/>
          <w:b/>
        </w:rPr>
        <w:t>4.5 Kosten für die Aufstellung und Umsetzung des Akt</w:t>
      </w:r>
      <w:r>
        <w:rPr>
          <w:rFonts w:cs="Arial"/>
          <w:b/>
        </w:rPr>
        <w:t>i</w:t>
      </w:r>
      <w:r>
        <w:rPr>
          <w:rFonts w:cs="Arial"/>
          <w:b/>
        </w:rPr>
        <w:t>onsplans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BA0ADE">
            <w:pPr>
              <w:rPr>
                <w:rFonts w:cs="Arial"/>
              </w:rPr>
            </w:pPr>
            <w:r>
              <w:rPr>
                <w:rFonts w:cs="Arial"/>
              </w:rPr>
              <w:t>Kosten für die Aufstellung: Bisher rund 800,00 €</w:t>
            </w:r>
            <w:r w:rsidR="00AE7D3E">
              <w:rPr>
                <w:rFonts w:cs="Arial"/>
              </w:rPr>
              <w:t>. Für die Fortschreibung: Keine.</w:t>
            </w:r>
          </w:p>
          <w:p w:rsidR="009836FE" w:rsidRDefault="009836FE">
            <w:pPr>
              <w:rPr>
                <w:rFonts w:cs="Arial"/>
              </w:rPr>
            </w:pPr>
          </w:p>
        </w:tc>
      </w:tr>
    </w:tbl>
    <w:p w:rsidR="009836FE" w:rsidRDefault="009836FE">
      <w:pPr>
        <w:ind w:left="426" w:hanging="426"/>
        <w:rPr>
          <w:rFonts w:cs="Arial"/>
          <w:b/>
        </w:rPr>
      </w:pPr>
      <w:r>
        <w:rPr>
          <w:rFonts w:cs="Arial"/>
          <w:b/>
        </w:rPr>
        <w:t>4.6 Weitere finanzielle Informationen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Default="00BA0ADE">
            <w:pPr>
              <w:rPr>
                <w:rFonts w:cs="Arial"/>
              </w:rPr>
            </w:pPr>
            <w:r>
              <w:rPr>
                <w:rFonts w:cs="Arial"/>
              </w:rPr>
              <w:t>Entfällt.</w:t>
            </w:r>
          </w:p>
          <w:p w:rsidR="009836FE" w:rsidRDefault="009836FE">
            <w:pPr>
              <w:rPr>
                <w:rFonts w:cs="Arial"/>
              </w:rPr>
            </w:pPr>
          </w:p>
        </w:tc>
      </w:tr>
    </w:tbl>
    <w:p w:rsidR="009836FE" w:rsidRDefault="009836FE">
      <w:pPr>
        <w:rPr>
          <w:rFonts w:cs="Arial"/>
          <w:b/>
        </w:rPr>
      </w:pPr>
      <w:r>
        <w:rPr>
          <w:rFonts w:cs="Arial"/>
          <w:b/>
        </w:rPr>
        <w:t>4.7 Link zum Aktionsplan im Internet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836FE">
        <w:tc>
          <w:tcPr>
            <w:tcW w:w="9102" w:type="dxa"/>
          </w:tcPr>
          <w:p w:rsidR="009836FE" w:rsidRPr="00BA0ADE" w:rsidRDefault="006D7E6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strategischen Lärmkarten stehen unter </w:t>
            </w:r>
            <w:hyperlink r:id="rId9" w:history="1">
              <w:r w:rsidRPr="00D447FE">
                <w:rPr>
                  <w:rStyle w:val="Hyperlink"/>
                  <w:rFonts w:cs="Arial"/>
                  <w:i/>
                  <w:sz w:val="22"/>
                  <w:szCs w:val="22"/>
                </w:rPr>
                <w:t>www.umweltdaten.landsh.de/laermatlas</w:t>
              </w:r>
            </w:hyperlink>
            <w:r>
              <w:rPr>
                <w:rFonts w:cs="Arial"/>
                <w:i/>
                <w:sz w:val="22"/>
                <w:szCs w:val="22"/>
              </w:rPr>
              <w:t xml:space="preserve"> und die Lärmaktionsplanung der Gemeinde Rumohr unter </w:t>
            </w:r>
            <w:hyperlink r:id="rId10" w:history="1">
              <w:r w:rsidRPr="00D447FE">
                <w:rPr>
                  <w:rStyle w:val="Hyperlink"/>
                  <w:rFonts w:cs="Arial"/>
                  <w:i/>
                  <w:sz w:val="22"/>
                  <w:szCs w:val="22"/>
                </w:rPr>
                <w:t>www.molfsee.de</w:t>
              </w:r>
            </w:hyperlink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8938F1">
              <w:rPr>
                <w:rFonts w:cs="Arial"/>
                <w:i/>
                <w:sz w:val="22"/>
                <w:szCs w:val="22"/>
              </w:rPr>
              <w:t>im Internet</w:t>
            </w:r>
            <w:r>
              <w:rPr>
                <w:rFonts w:cs="Arial"/>
                <w:i/>
                <w:sz w:val="22"/>
                <w:szCs w:val="22"/>
              </w:rPr>
              <w:t xml:space="preserve"> zur Ei</w:t>
            </w:r>
            <w:r>
              <w:rPr>
                <w:rFonts w:cs="Arial"/>
                <w:i/>
                <w:sz w:val="22"/>
                <w:szCs w:val="22"/>
              </w:rPr>
              <w:t>n</w:t>
            </w:r>
            <w:r>
              <w:rPr>
                <w:rFonts w:cs="Arial"/>
                <w:i/>
                <w:sz w:val="22"/>
                <w:szCs w:val="22"/>
              </w:rPr>
              <w:t>sichtnahme bereit.</w:t>
            </w:r>
          </w:p>
        </w:tc>
      </w:tr>
    </w:tbl>
    <w:p w:rsidR="009836FE" w:rsidRPr="00C53B13" w:rsidRDefault="009836FE">
      <w:pPr>
        <w:rPr>
          <w:rFonts w:cs="Arial"/>
          <w:b/>
        </w:rPr>
      </w:pPr>
      <w:r w:rsidRPr="00C53B13">
        <w:rPr>
          <w:rFonts w:cs="Arial"/>
          <w:b/>
        </w:rPr>
        <w:t>Ort, Datum</w:t>
      </w:r>
    </w:p>
    <w:p w:rsidR="009836FE" w:rsidRDefault="006D7E66">
      <w:pPr>
        <w:rPr>
          <w:rFonts w:cs="Arial"/>
          <w:b/>
        </w:rPr>
      </w:pPr>
      <w:r w:rsidRPr="00C53B13">
        <w:rPr>
          <w:rFonts w:cs="Arial"/>
          <w:b/>
        </w:rPr>
        <w:t>Rumohr,</w:t>
      </w:r>
      <w:r w:rsidR="0003255D">
        <w:rPr>
          <w:rFonts w:cs="Arial"/>
          <w:b/>
        </w:rPr>
        <w:t xml:space="preserve">                </w:t>
      </w:r>
      <w:r w:rsidR="00C53B13" w:rsidRPr="00C53B13">
        <w:rPr>
          <w:rFonts w:cs="Arial"/>
          <w:b/>
        </w:rPr>
        <w:t>20</w:t>
      </w:r>
      <w:r w:rsidR="00AE7D3E">
        <w:rPr>
          <w:rFonts w:cs="Arial"/>
          <w:b/>
        </w:rPr>
        <w:t>1</w:t>
      </w:r>
      <w:r w:rsidR="0003255D">
        <w:rPr>
          <w:rFonts w:cs="Arial"/>
          <w:b/>
        </w:rPr>
        <w:t>8</w:t>
      </w:r>
    </w:p>
    <w:p w:rsidR="009836FE" w:rsidRPr="00AE7D3E" w:rsidRDefault="009836FE" w:rsidP="00AE7D3E">
      <w:pPr>
        <w:rPr>
          <w:rFonts w:cs="Arial"/>
          <w:b/>
        </w:rPr>
      </w:pPr>
      <w:r w:rsidRPr="00C53B13">
        <w:rPr>
          <w:rFonts w:cs="Arial"/>
          <w:b/>
        </w:rPr>
        <w:t>_____________________________</w:t>
      </w:r>
      <w:r w:rsidRPr="00C53B13">
        <w:rPr>
          <w:rFonts w:cs="Arial"/>
          <w:b/>
        </w:rPr>
        <w:br/>
      </w:r>
      <w:r w:rsidR="00AE7D3E">
        <w:rPr>
          <w:rFonts w:cs="Arial"/>
          <w:b/>
        </w:rPr>
        <w:t>Langmaack, Bürgermeister</w:t>
      </w:r>
    </w:p>
    <w:sectPr w:rsidR="009836FE" w:rsidRPr="00AE7D3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B0" w:rsidRDefault="002757B0">
      <w:r>
        <w:separator/>
      </w:r>
    </w:p>
  </w:endnote>
  <w:endnote w:type="continuationSeparator" w:id="0">
    <w:p w:rsidR="002757B0" w:rsidRDefault="0027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B0" w:rsidRDefault="002757B0">
      <w:r>
        <w:separator/>
      </w:r>
    </w:p>
  </w:footnote>
  <w:footnote w:type="continuationSeparator" w:id="0">
    <w:p w:rsidR="002757B0" w:rsidRDefault="0027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FE" w:rsidRPr="00A6191D" w:rsidRDefault="00A6191D" w:rsidP="00A6191D">
    <w:pPr>
      <w:pStyle w:val="Kopfzeile"/>
    </w:pPr>
    <w:r>
      <w:t>Stand:</w:t>
    </w:r>
    <w:r w:rsidR="00EA4E63">
      <w:t xml:space="preserve"> </w:t>
    </w:r>
    <w:r w:rsidR="005A495A">
      <w:t>31.05.</w:t>
    </w:r>
    <w:r w:rsidR="00BF26B3">
      <w:t>201</w:t>
    </w:r>
    <w:r w:rsidR="00EA4E63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5BD"/>
    <w:multiLevelType w:val="hybridMultilevel"/>
    <w:tmpl w:val="54885200"/>
    <w:lvl w:ilvl="0" w:tplc="8C729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A1DFD"/>
    <w:multiLevelType w:val="hybridMultilevel"/>
    <w:tmpl w:val="457E55B2"/>
    <w:lvl w:ilvl="0" w:tplc="8C729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61AEC"/>
    <w:multiLevelType w:val="hybridMultilevel"/>
    <w:tmpl w:val="2264CCD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728C5"/>
    <w:multiLevelType w:val="hybridMultilevel"/>
    <w:tmpl w:val="8AB24A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8B12BD"/>
    <w:multiLevelType w:val="hybridMultilevel"/>
    <w:tmpl w:val="442A5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721D37"/>
    <w:multiLevelType w:val="multilevel"/>
    <w:tmpl w:val="27263F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8"/>
    <w:rsid w:val="0003255D"/>
    <w:rsid w:val="000F06EE"/>
    <w:rsid w:val="001A404A"/>
    <w:rsid w:val="002757B0"/>
    <w:rsid w:val="002835F8"/>
    <w:rsid w:val="00445329"/>
    <w:rsid w:val="00561BFB"/>
    <w:rsid w:val="005A495A"/>
    <w:rsid w:val="005D03E6"/>
    <w:rsid w:val="0066654F"/>
    <w:rsid w:val="006825D2"/>
    <w:rsid w:val="006A636B"/>
    <w:rsid w:val="006D7E66"/>
    <w:rsid w:val="00771E80"/>
    <w:rsid w:val="008475DD"/>
    <w:rsid w:val="008625D4"/>
    <w:rsid w:val="008960E1"/>
    <w:rsid w:val="00924FAD"/>
    <w:rsid w:val="00960A24"/>
    <w:rsid w:val="009836FE"/>
    <w:rsid w:val="009D39FB"/>
    <w:rsid w:val="00A2036B"/>
    <w:rsid w:val="00A6191D"/>
    <w:rsid w:val="00A907DA"/>
    <w:rsid w:val="00AD0C7B"/>
    <w:rsid w:val="00AD5F4E"/>
    <w:rsid w:val="00AE7D3E"/>
    <w:rsid w:val="00BA0ADE"/>
    <w:rsid w:val="00BF26B3"/>
    <w:rsid w:val="00C16F00"/>
    <w:rsid w:val="00C53B13"/>
    <w:rsid w:val="00C6039E"/>
    <w:rsid w:val="00CB5505"/>
    <w:rsid w:val="00D85597"/>
    <w:rsid w:val="00E16838"/>
    <w:rsid w:val="00E56DA5"/>
    <w:rsid w:val="00EA4E63"/>
    <w:rsid w:val="00F13A0A"/>
    <w:rsid w:val="00F9134B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after="120" w:line="288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jc w:val="center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after="240" w:line="276" w:lineRule="auto"/>
      <w:jc w:val="both"/>
      <w:outlineLvl w:val="5"/>
    </w:pPr>
    <w:rPr>
      <w:b/>
      <w:bCs/>
      <w:color w:val="0000FF"/>
      <w:sz w:val="48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ckblatt1">
    <w:name w:val="Deckblatt 1"/>
    <w:basedOn w:val="Standard"/>
    <w:pPr>
      <w:spacing w:after="240"/>
      <w:jc w:val="center"/>
    </w:pPr>
    <w:rPr>
      <w:b/>
      <w:color w:val="000000"/>
      <w:sz w:val="28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Deckblatt2">
    <w:name w:val="Deckblatt 2"/>
    <w:basedOn w:val="Standard"/>
    <w:pPr>
      <w:jc w:val="center"/>
    </w:pPr>
    <w:rPr>
      <w:b/>
      <w:color w:val="000000"/>
      <w:szCs w:val="20"/>
    </w:rPr>
  </w:style>
  <w:style w:type="paragraph" w:customStyle="1" w:styleId="DeckblattAnschrift">
    <w:name w:val="Deckblatt Anschrift"/>
    <w:aliases w:val="Bearbeiter"/>
    <w:basedOn w:val="Standard"/>
    <w:pPr>
      <w:jc w:val="center"/>
    </w:pPr>
    <w:rPr>
      <w:color w:val="00000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843"/>
        <w:tab w:val="right" w:pos="9072"/>
      </w:tabs>
      <w:spacing w:after="240" w:line="276" w:lineRule="auto"/>
      <w:ind w:left="1843" w:right="567" w:hanging="709"/>
      <w:jc w:val="both"/>
    </w:pPr>
    <w:rPr>
      <w:noProof/>
      <w:sz w:val="22"/>
      <w:szCs w:val="22"/>
    </w:rPr>
  </w:style>
  <w:style w:type="paragraph" w:styleId="Textkrper">
    <w:name w:val="Body Text"/>
    <w:basedOn w:val="Standard"/>
    <w:pPr>
      <w:jc w:val="center"/>
    </w:pPr>
    <w:rPr>
      <w:rFonts w:cs="Arial"/>
      <w:b/>
      <w:bCs/>
      <w:sz w:val="32"/>
    </w:rPr>
  </w:style>
  <w:style w:type="paragraph" w:styleId="Textkrper2">
    <w:name w:val="Body Text 2"/>
    <w:basedOn w:val="Standard"/>
    <w:pPr>
      <w:spacing w:after="0" w:line="240" w:lineRule="auto"/>
      <w:jc w:val="center"/>
    </w:pPr>
    <w:rPr>
      <w:rFonts w:cs="Arial"/>
      <w:b/>
      <w:bCs/>
      <w:sz w:val="28"/>
    </w:rPr>
  </w:style>
  <w:style w:type="character" w:styleId="Hyperlink">
    <w:name w:val="Hyperlink"/>
    <w:rsid w:val="006D7E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after="120" w:line="288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jc w:val="center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after="240" w:line="276" w:lineRule="auto"/>
      <w:jc w:val="both"/>
      <w:outlineLvl w:val="5"/>
    </w:pPr>
    <w:rPr>
      <w:b/>
      <w:bCs/>
      <w:color w:val="0000FF"/>
      <w:sz w:val="48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ckblatt1">
    <w:name w:val="Deckblatt 1"/>
    <w:basedOn w:val="Standard"/>
    <w:pPr>
      <w:spacing w:after="240"/>
      <w:jc w:val="center"/>
    </w:pPr>
    <w:rPr>
      <w:b/>
      <w:color w:val="000000"/>
      <w:sz w:val="28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Deckblatt2">
    <w:name w:val="Deckblatt 2"/>
    <w:basedOn w:val="Standard"/>
    <w:pPr>
      <w:jc w:val="center"/>
    </w:pPr>
    <w:rPr>
      <w:b/>
      <w:color w:val="000000"/>
      <w:szCs w:val="20"/>
    </w:rPr>
  </w:style>
  <w:style w:type="paragraph" w:customStyle="1" w:styleId="DeckblattAnschrift">
    <w:name w:val="Deckblatt Anschrift"/>
    <w:aliases w:val="Bearbeiter"/>
    <w:basedOn w:val="Standard"/>
    <w:pPr>
      <w:jc w:val="center"/>
    </w:pPr>
    <w:rPr>
      <w:color w:val="00000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843"/>
        <w:tab w:val="right" w:pos="9072"/>
      </w:tabs>
      <w:spacing w:after="240" w:line="276" w:lineRule="auto"/>
      <w:ind w:left="1843" w:right="567" w:hanging="709"/>
      <w:jc w:val="both"/>
    </w:pPr>
    <w:rPr>
      <w:noProof/>
      <w:sz w:val="22"/>
      <w:szCs w:val="22"/>
    </w:rPr>
  </w:style>
  <w:style w:type="paragraph" w:styleId="Textkrper">
    <w:name w:val="Body Text"/>
    <w:basedOn w:val="Standard"/>
    <w:pPr>
      <w:jc w:val="center"/>
    </w:pPr>
    <w:rPr>
      <w:rFonts w:cs="Arial"/>
      <w:b/>
      <w:bCs/>
      <w:sz w:val="32"/>
    </w:rPr>
  </w:style>
  <w:style w:type="paragraph" w:styleId="Textkrper2">
    <w:name w:val="Body Text 2"/>
    <w:basedOn w:val="Standard"/>
    <w:pPr>
      <w:spacing w:after="0" w:line="240" w:lineRule="auto"/>
      <w:jc w:val="center"/>
    </w:pPr>
    <w:rPr>
      <w:rFonts w:cs="Arial"/>
      <w:b/>
      <w:bCs/>
      <w:sz w:val="28"/>
    </w:rPr>
  </w:style>
  <w:style w:type="character" w:styleId="Hyperlink">
    <w:name w:val="Hyperlink"/>
    <w:rsid w:val="006D7E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Ki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lfse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eltdaten.landsh.de/laermatla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Aktionsplan gem</vt:lpstr>
    </vt:vector>
  </TitlesOfParts>
  <Company>SHGT</Company>
  <LinksUpToDate>false</LinksUpToDate>
  <CharactersWithSpaces>8871</CharactersWithSpaces>
  <SharedDoc>false</SharedDoc>
  <HLinks>
    <vt:vector size="18" baseType="variant"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http://www.molfsee.de/</vt:lpwstr>
      </vt:variant>
      <vt:variant>
        <vt:lpwstr/>
      </vt:variant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http://www.umweltdaten.landsh.de/laermatlas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http://de.wikipedia.org/wiki/Kiel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Aktionsplan gem</dc:title>
  <dc:creator>rosenthal_shgt</dc:creator>
  <cp:lastModifiedBy>Peter Krebs</cp:lastModifiedBy>
  <cp:revision>2</cp:revision>
  <cp:lastPrinted>2018-06-27T08:39:00Z</cp:lastPrinted>
  <dcterms:created xsi:type="dcterms:W3CDTF">2018-07-02T07:08:00Z</dcterms:created>
  <dcterms:modified xsi:type="dcterms:W3CDTF">2018-07-02T07:08:00Z</dcterms:modified>
</cp:coreProperties>
</file>